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6FF68A" w14:textId="5CC28EDC" w:rsidR="00C354DC" w:rsidRPr="00C354DC" w:rsidRDefault="00C354DC" w:rsidP="00C354DC">
      <w:pPr>
        <w:pStyle w:val="3GPPHeader"/>
        <w:rPr>
          <w:bCs/>
          <w:sz w:val="22"/>
        </w:rPr>
      </w:pPr>
      <w:bookmarkStart w:id="0" w:name="_GoBack"/>
      <w:bookmarkEnd w:id="0"/>
      <w:r w:rsidRPr="00C354DC">
        <w:rPr>
          <w:bCs/>
          <w:sz w:val="22"/>
        </w:rPr>
        <w:t>3</w:t>
      </w:r>
      <w:r>
        <w:rPr>
          <w:bCs/>
          <w:sz w:val="22"/>
        </w:rPr>
        <w:t xml:space="preserve">GPP TSG RAN WG1 Meeting 90bis </w:t>
      </w:r>
      <w:r>
        <w:rPr>
          <w:bCs/>
          <w:sz w:val="22"/>
        </w:rPr>
        <w:tab/>
      </w:r>
      <w:r w:rsidR="00F365B1" w:rsidRPr="00F365B1">
        <w:rPr>
          <w:bCs/>
          <w:sz w:val="22"/>
        </w:rPr>
        <w:t>R1-1718689</w:t>
      </w:r>
    </w:p>
    <w:p w14:paraId="0CFB86FD" w14:textId="77777777" w:rsidR="00C354DC" w:rsidRDefault="00C354DC" w:rsidP="00C354DC">
      <w:pPr>
        <w:pStyle w:val="3GPPHeader"/>
        <w:rPr>
          <w:bCs/>
          <w:sz w:val="22"/>
        </w:rPr>
      </w:pPr>
      <w:r w:rsidRPr="00C354DC">
        <w:rPr>
          <w:bCs/>
          <w:sz w:val="22"/>
        </w:rPr>
        <w:t>Prague, CZ, 9th – 13th, October 2017</w:t>
      </w:r>
    </w:p>
    <w:p w14:paraId="606D9DC9" w14:textId="543F1F22" w:rsidR="00E90E49" w:rsidRPr="007B78FE" w:rsidRDefault="00E90E49" w:rsidP="00C354DC">
      <w:pPr>
        <w:pStyle w:val="3GPPHeader"/>
        <w:rPr>
          <w:sz w:val="22"/>
          <w:szCs w:val="22"/>
          <w:lang w:val="en-US"/>
        </w:rPr>
      </w:pPr>
      <w:r w:rsidRPr="007B78FE">
        <w:rPr>
          <w:sz w:val="22"/>
          <w:szCs w:val="22"/>
          <w:lang w:val="en-US"/>
        </w:rPr>
        <w:t>Agenda Item:</w:t>
      </w:r>
      <w:r w:rsidRPr="007B78FE">
        <w:rPr>
          <w:sz w:val="22"/>
          <w:szCs w:val="22"/>
          <w:lang w:val="en-US"/>
        </w:rPr>
        <w:tab/>
      </w:r>
      <w:r w:rsidR="00C354DC">
        <w:rPr>
          <w:sz w:val="22"/>
          <w:szCs w:val="22"/>
          <w:lang w:val="en-US"/>
        </w:rPr>
        <w:t>7.</w:t>
      </w:r>
      <w:r w:rsidR="00D20FCC">
        <w:rPr>
          <w:sz w:val="22"/>
          <w:szCs w:val="22"/>
          <w:lang w:val="en-US"/>
        </w:rPr>
        <w:t>6.2</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05312DE4"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30754A" w:rsidRPr="0030754A">
        <w:rPr>
          <w:sz w:val="22"/>
          <w:szCs w:val="22"/>
          <w:lang w:val="en-US"/>
        </w:rPr>
        <w:t xml:space="preserve">Open issues on RRC parameters for </w:t>
      </w:r>
      <w:r w:rsidR="00D20FCC">
        <w:rPr>
          <w:sz w:val="22"/>
          <w:szCs w:val="22"/>
          <w:lang w:val="en-US"/>
        </w:rPr>
        <w:t>UL power control</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197CF379" w14:textId="7DE8BCD1" w:rsidR="00D538F4" w:rsidRDefault="00C354DC" w:rsidP="00D538F4">
      <w:pPr>
        <w:pStyle w:val="BodyText"/>
        <w:rPr>
          <w:lang w:val="en-US"/>
        </w:rPr>
      </w:pPr>
      <w:r>
        <w:rPr>
          <w:lang w:val="en-US"/>
        </w:rPr>
        <w:t xml:space="preserve">In this contribution, we aim to highlight the open issues related to RRC parameters that would need to be finalized during this meeting. The contribution focused on </w:t>
      </w:r>
      <w:r w:rsidR="00D20FCC">
        <w:rPr>
          <w:lang w:val="en-US"/>
        </w:rPr>
        <w:t>UL power control aspects.</w:t>
      </w:r>
    </w:p>
    <w:p w14:paraId="2DFAC73A" w14:textId="249B16C3" w:rsidR="00EA60F2" w:rsidRDefault="00C354DC" w:rsidP="000B0589">
      <w:pPr>
        <w:pStyle w:val="Heading1"/>
        <w:rPr>
          <w:lang w:val="en-US"/>
        </w:rPr>
      </w:pPr>
      <w:r>
        <w:rPr>
          <w:lang w:val="en-US"/>
        </w:rPr>
        <w:t>Discussion</w:t>
      </w:r>
    </w:p>
    <w:p w14:paraId="66D6A107" w14:textId="6F46CFE8" w:rsidR="00345127" w:rsidRDefault="00D20FCC" w:rsidP="00D20FCC">
      <w:pPr>
        <w:pStyle w:val="BodyText"/>
        <w:spacing w:after="240"/>
        <w:rPr>
          <w:lang w:val="en-US"/>
        </w:rPr>
      </w:pPr>
      <w:r>
        <w:rPr>
          <w:lang w:val="en-US"/>
        </w:rPr>
        <w:t>For power control, there are multiple aspects that needs to be concluded. Basically, the complete framework for PUSCH power control would need to be concluded including how to handle two closed-loop operational sets. For PUSCH power control the power control needs to consider both transmissions with and without grant. From the PUSCH power control if one follows LTE it would be need to determine how much of this can be inherit to SRS which would be needed to be defined. Further the PUCCH power control would need to be setup in terms of RRC parameters at least. Lastly in terms of specific channels/signals the RACH power control would be needed to be finalized.</w:t>
      </w:r>
    </w:p>
    <w:p w14:paraId="456FAB34" w14:textId="4FC39E0A" w:rsidR="00FC557A" w:rsidRDefault="00D20FCC" w:rsidP="00FC557A">
      <w:pPr>
        <w:pStyle w:val="BodyText"/>
        <w:spacing w:after="240"/>
        <w:rPr>
          <w:lang w:val="en-US"/>
        </w:rPr>
      </w:pPr>
      <w:r>
        <w:rPr>
          <w:lang w:val="en-US"/>
        </w:rPr>
        <w:t>Further there will be needed to conclude on the parameters needed for CA/DC behavior of NR. In connection with these aspects above also PHR configuration would be needed (if there is any RAN1 impact from that).</w:t>
      </w:r>
      <w:r w:rsidR="00FC557A">
        <w:rPr>
          <w:lang w:val="en-US"/>
        </w:rPr>
        <w:t xml:space="preserve"> For NR-LTE NSA operation, any parameters other than already agreed P_LTE and P_NR (whose signaling details will be handled by RAN2/4) would also needed to be concluded. </w:t>
      </w:r>
    </w:p>
    <w:p w14:paraId="1EADAA4D" w14:textId="76A8292F" w:rsidR="00D20FCC" w:rsidRDefault="00D20FCC" w:rsidP="00D20FCC">
      <w:pPr>
        <w:pStyle w:val="BodyText"/>
        <w:spacing w:after="240"/>
        <w:rPr>
          <w:lang w:val="en-US"/>
        </w:rPr>
      </w:pPr>
      <w:r>
        <w:rPr>
          <w:lang w:val="en-US"/>
        </w:rPr>
        <w:t>Based on the all the above there is currently not that many parameters for UL power control captured and it is expected that this list will significantly will grow.</w:t>
      </w:r>
    </w:p>
    <w:tbl>
      <w:tblPr>
        <w:tblW w:w="7791" w:type="dxa"/>
        <w:tblInd w:w="295" w:type="dxa"/>
        <w:tblCellMar>
          <w:top w:w="15" w:type="dxa"/>
          <w:left w:w="70" w:type="dxa"/>
          <w:bottom w:w="15" w:type="dxa"/>
          <w:right w:w="70" w:type="dxa"/>
        </w:tblCellMar>
        <w:tblLook w:val="04A0" w:firstRow="1" w:lastRow="0" w:firstColumn="1" w:lastColumn="0" w:noHBand="0" w:noVBand="1"/>
      </w:tblPr>
      <w:tblGrid>
        <w:gridCol w:w="2410"/>
        <w:gridCol w:w="1695"/>
        <w:gridCol w:w="2126"/>
        <w:gridCol w:w="1560"/>
      </w:tblGrid>
      <w:tr w:rsidR="00D20FCC" w:rsidRPr="00D20FCC" w14:paraId="002349EC" w14:textId="77777777" w:rsidTr="00D20FCC">
        <w:trPr>
          <w:trHeight w:val="1575"/>
        </w:trPr>
        <w:tc>
          <w:tcPr>
            <w:tcW w:w="2410" w:type="dxa"/>
            <w:tcBorders>
              <w:top w:val="single" w:sz="4" w:space="0" w:color="auto"/>
              <w:left w:val="single" w:sz="4" w:space="0" w:color="auto"/>
              <w:bottom w:val="single" w:sz="4" w:space="0" w:color="auto"/>
              <w:right w:val="single" w:sz="4" w:space="0" w:color="auto"/>
            </w:tcBorders>
            <w:vAlign w:val="center"/>
            <w:hideMark/>
          </w:tcPr>
          <w:p w14:paraId="6CBAAF94" w14:textId="77777777" w:rsidR="00D20FCC" w:rsidRPr="00D20FCC" w:rsidRDefault="00D20FCC" w:rsidP="00D20FCC">
            <w:pPr>
              <w:overflowPunct/>
              <w:autoSpaceDE/>
              <w:autoSpaceDN/>
              <w:adjustRightInd/>
              <w:spacing w:after="0"/>
              <w:jc w:val="center"/>
              <w:textAlignment w:val="auto"/>
              <w:rPr>
                <w:rFonts w:cs="Arial"/>
                <w:sz w:val="16"/>
                <w:szCs w:val="16"/>
                <w:lang w:val="sv-SE" w:eastAsia="sv-SE"/>
              </w:rPr>
            </w:pPr>
            <w:r w:rsidRPr="00D20FCC">
              <w:rPr>
                <w:rFonts w:cs="Arial"/>
                <w:sz w:val="16"/>
                <w:szCs w:val="16"/>
                <w:lang w:val="sv-SE" w:eastAsia="sv-SE"/>
              </w:rPr>
              <w:t>preambleReceivedTargetPower</w:t>
            </w:r>
          </w:p>
        </w:tc>
        <w:tc>
          <w:tcPr>
            <w:tcW w:w="1695" w:type="dxa"/>
            <w:tcBorders>
              <w:top w:val="single" w:sz="4" w:space="0" w:color="auto"/>
              <w:left w:val="single" w:sz="4" w:space="0" w:color="auto"/>
              <w:bottom w:val="single" w:sz="4" w:space="0" w:color="auto"/>
              <w:right w:val="single" w:sz="4" w:space="0" w:color="auto"/>
            </w:tcBorders>
            <w:vAlign w:val="center"/>
            <w:hideMark/>
          </w:tcPr>
          <w:p w14:paraId="50EEA0CE" w14:textId="77777777" w:rsidR="00D20FCC" w:rsidRPr="00D20FCC" w:rsidRDefault="00D20FCC" w:rsidP="00D20FCC">
            <w:pPr>
              <w:overflowPunct/>
              <w:autoSpaceDE/>
              <w:autoSpaceDN/>
              <w:adjustRightInd/>
              <w:spacing w:after="0"/>
              <w:jc w:val="left"/>
              <w:textAlignment w:val="auto"/>
              <w:rPr>
                <w:rFonts w:cs="Arial"/>
                <w:sz w:val="16"/>
                <w:szCs w:val="16"/>
                <w:lang w:val="en-US" w:eastAsia="sv-SE"/>
              </w:rPr>
            </w:pPr>
            <w:proofErr w:type="spellStart"/>
            <w:r w:rsidRPr="00D20FCC">
              <w:rPr>
                <w:rFonts w:cs="Arial"/>
                <w:sz w:val="16"/>
                <w:szCs w:val="16"/>
                <w:lang w:val="en-US" w:eastAsia="sv-SE"/>
              </w:rPr>
              <w:t>Recieved</w:t>
            </w:r>
            <w:proofErr w:type="spellEnd"/>
            <w:r w:rsidRPr="00D20FCC">
              <w:rPr>
                <w:rFonts w:cs="Arial"/>
                <w:sz w:val="16"/>
                <w:szCs w:val="16"/>
                <w:lang w:val="en-US" w:eastAsia="sv-SE"/>
              </w:rPr>
              <w:t xml:space="preserve"> target power for PRACH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D9BDB5F" w14:textId="77777777" w:rsidR="00D20FCC" w:rsidRPr="00D20FCC" w:rsidRDefault="00D20FCC" w:rsidP="00D20FCC">
            <w:pPr>
              <w:overflowPunct/>
              <w:autoSpaceDE/>
              <w:autoSpaceDN/>
              <w:adjustRightInd/>
              <w:spacing w:after="0"/>
              <w:jc w:val="center"/>
              <w:textAlignment w:val="auto"/>
              <w:rPr>
                <w:rFonts w:cs="Arial"/>
                <w:sz w:val="16"/>
                <w:szCs w:val="16"/>
                <w:lang w:val="en-US" w:eastAsia="sv-SE"/>
              </w:rPr>
            </w:pPr>
            <w:r w:rsidRPr="00D20FCC">
              <w:rPr>
                <w:rFonts w:cs="Arial"/>
                <w:sz w:val="16"/>
                <w:szCs w:val="16"/>
                <w:lang w:val="en-US" w:eastAsia="sv-SE"/>
              </w:rPr>
              <w:t>[dBm-120, dBm-118, dBm-116, dBm-114, dBm-112,dBm-110, dBm-108, dBm-106, dBm-104, dBm-102,dBm-100, dBm-98, dBm-96, dBm-94,dBm-92, dBm-90]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F3BB1DE" w14:textId="77777777" w:rsidR="00D20FCC" w:rsidRPr="00D20FCC" w:rsidRDefault="00D20FCC" w:rsidP="00D20FCC">
            <w:pPr>
              <w:overflowPunct/>
              <w:autoSpaceDE/>
              <w:autoSpaceDN/>
              <w:adjustRightInd/>
              <w:spacing w:after="0"/>
              <w:jc w:val="center"/>
              <w:textAlignment w:val="auto"/>
              <w:rPr>
                <w:rFonts w:cs="Arial"/>
                <w:color w:val="FF0000"/>
                <w:sz w:val="16"/>
                <w:szCs w:val="16"/>
                <w:lang w:val="sv-SE" w:eastAsia="sv-SE"/>
              </w:rPr>
            </w:pPr>
            <w:r w:rsidRPr="00D20FCC">
              <w:rPr>
                <w:rFonts w:cs="Arial"/>
                <w:color w:val="FF0000"/>
                <w:sz w:val="16"/>
                <w:szCs w:val="16"/>
                <w:lang w:val="sv-SE" w:eastAsia="sv-SE"/>
              </w:rPr>
              <w:t>NA</w:t>
            </w:r>
          </w:p>
        </w:tc>
      </w:tr>
      <w:tr w:rsidR="00D20FCC" w:rsidRPr="00D20FCC" w14:paraId="4EE698A6" w14:textId="77777777" w:rsidTr="00D20FCC">
        <w:trPr>
          <w:trHeight w:val="225"/>
        </w:trPr>
        <w:tc>
          <w:tcPr>
            <w:tcW w:w="2410" w:type="dxa"/>
            <w:tcBorders>
              <w:top w:val="single" w:sz="4" w:space="0" w:color="auto"/>
              <w:left w:val="single" w:sz="4" w:space="0" w:color="auto"/>
              <w:bottom w:val="single" w:sz="4" w:space="0" w:color="auto"/>
              <w:right w:val="single" w:sz="4" w:space="0" w:color="auto"/>
            </w:tcBorders>
            <w:vAlign w:val="center"/>
            <w:hideMark/>
          </w:tcPr>
          <w:p w14:paraId="64D7A605" w14:textId="77777777" w:rsidR="00D20FCC" w:rsidRPr="00D20FCC" w:rsidRDefault="00D20FCC" w:rsidP="00D20FCC">
            <w:pPr>
              <w:overflowPunct/>
              <w:autoSpaceDE/>
              <w:autoSpaceDN/>
              <w:adjustRightInd/>
              <w:spacing w:after="0"/>
              <w:jc w:val="center"/>
              <w:textAlignment w:val="auto"/>
              <w:rPr>
                <w:rFonts w:cs="Arial"/>
                <w:sz w:val="16"/>
                <w:szCs w:val="16"/>
                <w:lang w:val="sv-SE" w:eastAsia="sv-SE"/>
              </w:rPr>
            </w:pPr>
            <w:r w:rsidRPr="00D20FCC">
              <w:rPr>
                <w:rFonts w:cs="Arial"/>
                <w:sz w:val="16"/>
                <w:szCs w:val="16"/>
                <w:lang w:val="sv-SE" w:eastAsia="sv-SE"/>
              </w:rPr>
              <w:t>powerRampingStep</w:t>
            </w:r>
          </w:p>
        </w:tc>
        <w:tc>
          <w:tcPr>
            <w:tcW w:w="1695" w:type="dxa"/>
            <w:tcBorders>
              <w:top w:val="single" w:sz="4" w:space="0" w:color="auto"/>
              <w:left w:val="single" w:sz="4" w:space="0" w:color="auto"/>
              <w:bottom w:val="single" w:sz="4" w:space="0" w:color="auto"/>
              <w:right w:val="single" w:sz="4" w:space="0" w:color="auto"/>
            </w:tcBorders>
            <w:vAlign w:val="center"/>
            <w:hideMark/>
          </w:tcPr>
          <w:p w14:paraId="4008EC01" w14:textId="77777777" w:rsidR="00D20FCC" w:rsidRPr="00D20FCC" w:rsidRDefault="00D20FCC" w:rsidP="00D20FCC">
            <w:pPr>
              <w:overflowPunct/>
              <w:autoSpaceDE/>
              <w:autoSpaceDN/>
              <w:adjustRightInd/>
              <w:spacing w:after="0"/>
              <w:jc w:val="left"/>
              <w:textAlignment w:val="auto"/>
              <w:rPr>
                <w:rFonts w:cs="Arial"/>
                <w:sz w:val="16"/>
                <w:szCs w:val="16"/>
                <w:lang w:val="en-US" w:eastAsia="sv-SE"/>
              </w:rPr>
            </w:pPr>
            <w:r w:rsidRPr="00D20FCC">
              <w:rPr>
                <w:rFonts w:cs="Arial"/>
                <w:sz w:val="16"/>
                <w:szCs w:val="16"/>
                <w:lang w:val="en-US" w:eastAsia="sv-SE"/>
              </w:rPr>
              <w:t>Power ramping steps for PRACH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52B097" w14:textId="77777777" w:rsidR="00D20FCC" w:rsidRPr="00D20FCC" w:rsidRDefault="00D20FCC" w:rsidP="00D20FCC">
            <w:pPr>
              <w:overflowPunct/>
              <w:autoSpaceDE/>
              <w:autoSpaceDN/>
              <w:adjustRightInd/>
              <w:spacing w:after="0"/>
              <w:jc w:val="center"/>
              <w:textAlignment w:val="auto"/>
              <w:rPr>
                <w:rFonts w:cs="Arial"/>
                <w:sz w:val="16"/>
                <w:szCs w:val="16"/>
                <w:lang w:val="sv-SE" w:eastAsia="sv-SE"/>
              </w:rPr>
            </w:pPr>
            <w:r w:rsidRPr="00D20FCC">
              <w:rPr>
                <w:rFonts w:cs="Arial"/>
                <w:sz w:val="16"/>
                <w:szCs w:val="16"/>
                <w:lang w:val="sv-SE" w:eastAsia="sv-SE"/>
              </w:rPr>
              <w:t>[dB0, dB2,dB4, dB6]</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C4D5C9C" w14:textId="77777777" w:rsidR="00D20FCC" w:rsidRPr="00D20FCC" w:rsidRDefault="00D20FCC" w:rsidP="00D20FCC">
            <w:pPr>
              <w:overflowPunct/>
              <w:autoSpaceDE/>
              <w:autoSpaceDN/>
              <w:adjustRightInd/>
              <w:spacing w:after="0"/>
              <w:jc w:val="center"/>
              <w:textAlignment w:val="auto"/>
              <w:rPr>
                <w:rFonts w:cs="Arial"/>
                <w:sz w:val="16"/>
                <w:szCs w:val="16"/>
                <w:lang w:val="sv-SE" w:eastAsia="sv-SE"/>
              </w:rPr>
            </w:pPr>
          </w:p>
        </w:tc>
      </w:tr>
      <w:tr w:rsidR="00D20FCC" w:rsidRPr="00D20FCC" w14:paraId="5584C773" w14:textId="77777777" w:rsidTr="00D20FCC">
        <w:trPr>
          <w:trHeight w:val="225"/>
        </w:trPr>
        <w:tc>
          <w:tcPr>
            <w:tcW w:w="2410" w:type="dxa"/>
            <w:tcBorders>
              <w:top w:val="single" w:sz="4" w:space="0" w:color="auto"/>
              <w:left w:val="single" w:sz="4" w:space="0" w:color="auto"/>
              <w:bottom w:val="single" w:sz="4" w:space="0" w:color="auto"/>
              <w:right w:val="single" w:sz="4" w:space="0" w:color="auto"/>
            </w:tcBorders>
            <w:vAlign w:val="center"/>
            <w:hideMark/>
          </w:tcPr>
          <w:p w14:paraId="369DC07A" w14:textId="77777777" w:rsidR="00D20FCC" w:rsidRPr="00D20FCC" w:rsidRDefault="00D20FCC" w:rsidP="00D20FCC">
            <w:pPr>
              <w:overflowPunct/>
              <w:autoSpaceDE/>
              <w:autoSpaceDN/>
              <w:adjustRightInd/>
              <w:spacing w:after="0"/>
              <w:jc w:val="center"/>
              <w:textAlignment w:val="auto"/>
              <w:rPr>
                <w:rFonts w:cs="Arial"/>
                <w:sz w:val="16"/>
                <w:szCs w:val="16"/>
                <w:lang w:val="sv-SE" w:eastAsia="sv-SE"/>
              </w:rPr>
            </w:pPr>
            <w:r w:rsidRPr="00D20FCC">
              <w:rPr>
                <w:rFonts w:cs="Arial"/>
                <w:sz w:val="16"/>
                <w:szCs w:val="16"/>
                <w:lang w:val="sv-SE" w:eastAsia="sv-SE"/>
              </w:rPr>
              <w:t>alpha</w:t>
            </w:r>
          </w:p>
        </w:tc>
        <w:tc>
          <w:tcPr>
            <w:tcW w:w="1695" w:type="dxa"/>
            <w:tcBorders>
              <w:top w:val="single" w:sz="4" w:space="0" w:color="auto"/>
              <w:left w:val="single" w:sz="4" w:space="0" w:color="auto"/>
              <w:bottom w:val="single" w:sz="4" w:space="0" w:color="auto"/>
              <w:right w:val="single" w:sz="4" w:space="0" w:color="auto"/>
            </w:tcBorders>
            <w:vAlign w:val="center"/>
            <w:hideMark/>
          </w:tcPr>
          <w:p w14:paraId="5CEDCDDA" w14:textId="77777777" w:rsidR="00D20FCC" w:rsidRPr="00D20FCC" w:rsidRDefault="00D20FCC" w:rsidP="00D20FCC">
            <w:pPr>
              <w:overflowPunct/>
              <w:autoSpaceDE/>
              <w:autoSpaceDN/>
              <w:adjustRightInd/>
              <w:spacing w:after="0"/>
              <w:jc w:val="left"/>
              <w:textAlignment w:val="auto"/>
              <w:rPr>
                <w:rFonts w:cs="Arial"/>
                <w:sz w:val="16"/>
                <w:szCs w:val="16"/>
                <w:lang w:val="en-US" w:eastAsia="sv-SE"/>
              </w:rPr>
            </w:pPr>
            <w:r w:rsidRPr="00D20FCC">
              <w:rPr>
                <w:rFonts w:cs="Arial"/>
                <w:sz w:val="16"/>
                <w:szCs w:val="16"/>
                <w:lang w:val="en-US" w:eastAsia="sv-SE"/>
              </w:rPr>
              <w:t xml:space="preserve">Fractional </w:t>
            </w:r>
            <w:proofErr w:type="spellStart"/>
            <w:r w:rsidRPr="00D20FCC">
              <w:rPr>
                <w:rFonts w:cs="Arial"/>
                <w:sz w:val="16"/>
                <w:szCs w:val="16"/>
                <w:lang w:val="en-US" w:eastAsia="sv-SE"/>
              </w:rPr>
              <w:t>pathloss</w:t>
            </w:r>
            <w:proofErr w:type="spellEnd"/>
            <w:r w:rsidRPr="00D20FCC">
              <w:rPr>
                <w:rFonts w:cs="Arial"/>
                <w:sz w:val="16"/>
                <w:szCs w:val="16"/>
                <w:lang w:val="en-US" w:eastAsia="sv-SE"/>
              </w:rPr>
              <w:t xml:space="preserve"> compensation for PUSCH</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FF139E" w14:textId="77777777" w:rsidR="00D20FCC" w:rsidRPr="00D20FCC" w:rsidRDefault="00D20FCC" w:rsidP="00D20FCC">
            <w:pPr>
              <w:overflowPunct/>
              <w:autoSpaceDE/>
              <w:autoSpaceDN/>
              <w:adjustRightInd/>
              <w:spacing w:after="0"/>
              <w:jc w:val="center"/>
              <w:textAlignment w:val="auto"/>
              <w:rPr>
                <w:rFonts w:cs="Arial"/>
                <w:sz w:val="16"/>
                <w:szCs w:val="16"/>
                <w:lang w:val="en-US" w:eastAsia="sv-SE"/>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39A04BB2" w14:textId="77777777" w:rsidR="00D20FCC" w:rsidRPr="00D20FCC" w:rsidRDefault="00D20FCC" w:rsidP="00D20FCC">
            <w:pPr>
              <w:overflowPunct/>
              <w:autoSpaceDE/>
              <w:autoSpaceDN/>
              <w:adjustRightInd/>
              <w:spacing w:after="0"/>
              <w:jc w:val="center"/>
              <w:textAlignment w:val="auto"/>
              <w:rPr>
                <w:rFonts w:cs="Arial"/>
                <w:sz w:val="16"/>
                <w:szCs w:val="16"/>
                <w:lang w:val="en-US" w:eastAsia="sv-SE"/>
              </w:rPr>
            </w:pPr>
          </w:p>
        </w:tc>
      </w:tr>
      <w:tr w:rsidR="00D20FCC" w:rsidRPr="00D20FCC" w14:paraId="636254FF" w14:textId="77777777" w:rsidTr="00D20FCC">
        <w:trPr>
          <w:trHeight w:val="225"/>
        </w:trPr>
        <w:tc>
          <w:tcPr>
            <w:tcW w:w="2410" w:type="dxa"/>
            <w:tcBorders>
              <w:top w:val="single" w:sz="4" w:space="0" w:color="auto"/>
              <w:left w:val="single" w:sz="4" w:space="0" w:color="auto"/>
              <w:bottom w:val="single" w:sz="4" w:space="0" w:color="auto"/>
              <w:right w:val="single" w:sz="4" w:space="0" w:color="auto"/>
            </w:tcBorders>
            <w:vAlign w:val="center"/>
            <w:hideMark/>
          </w:tcPr>
          <w:p w14:paraId="61E4742C" w14:textId="77777777" w:rsidR="00D20FCC" w:rsidRPr="00D20FCC" w:rsidRDefault="00D20FCC" w:rsidP="00D20FCC">
            <w:pPr>
              <w:overflowPunct/>
              <w:autoSpaceDE/>
              <w:autoSpaceDN/>
              <w:adjustRightInd/>
              <w:spacing w:after="0"/>
              <w:jc w:val="center"/>
              <w:textAlignment w:val="auto"/>
              <w:rPr>
                <w:rFonts w:cs="Arial"/>
                <w:sz w:val="16"/>
                <w:szCs w:val="16"/>
                <w:lang w:val="sv-SE" w:eastAsia="sv-SE"/>
              </w:rPr>
            </w:pPr>
            <w:r w:rsidRPr="00D20FCC">
              <w:rPr>
                <w:rFonts w:cs="Arial"/>
                <w:sz w:val="16"/>
                <w:szCs w:val="16"/>
                <w:lang w:val="sv-SE" w:eastAsia="sv-SE"/>
              </w:rPr>
              <w:t>Accumulation-enabled</w:t>
            </w:r>
          </w:p>
        </w:tc>
        <w:tc>
          <w:tcPr>
            <w:tcW w:w="1695" w:type="dxa"/>
            <w:tcBorders>
              <w:top w:val="single" w:sz="4" w:space="0" w:color="auto"/>
              <w:left w:val="single" w:sz="4" w:space="0" w:color="auto"/>
              <w:bottom w:val="single" w:sz="4" w:space="0" w:color="auto"/>
              <w:right w:val="single" w:sz="4" w:space="0" w:color="auto"/>
            </w:tcBorders>
            <w:vAlign w:val="center"/>
            <w:hideMark/>
          </w:tcPr>
          <w:p w14:paraId="14499D52" w14:textId="77777777" w:rsidR="00D20FCC" w:rsidRPr="00D20FCC" w:rsidRDefault="00D20FCC" w:rsidP="00D20FCC">
            <w:pPr>
              <w:overflowPunct/>
              <w:autoSpaceDE/>
              <w:autoSpaceDN/>
              <w:adjustRightInd/>
              <w:spacing w:after="0"/>
              <w:jc w:val="left"/>
              <w:textAlignment w:val="auto"/>
              <w:rPr>
                <w:rFonts w:cs="Arial"/>
                <w:sz w:val="16"/>
                <w:szCs w:val="16"/>
                <w:lang w:val="en-US" w:eastAsia="sv-SE"/>
              </w:rPr>
            </w:pPr>
            <w:r w:rsidRPr="00D20FCC">
              <w:rPr>
                <w:rFonts w:cs="Arial"/>
                <w:sz w:val="16"/>
                <w:szCs w:val="16"/>
                <w:lang w:val="en-US" w:eastAsia="sv-SE"/>
              </w:rPr>
              <w:t>If enabled, UE applies TPC commands via accumulation. If not enabled, UE applies the TPC command without accumulation.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250464" w14:textId="77777777" w:rsidR="00D20FCC" w:rsidRPr="00D20FCC" w:rsidRDefault="00D20FCC" w:rsidP="00D20FCC">
            <w:pPr>
              <w:overflowPunct/>
              <w:autoSpaceDE/>
              <w:autoSpaceDN/>
              <w:adjustRightInd/>
              <w:spacing w:after="0"/>
              <w:jc w:val="center"/>
              <w:textAlignment w:val="auto"/>
              <w:rPr>
                <w:rFonts w:cs="Arial"/>
                <w:sz w:val="16"/>
                <w:szCs w:val="16"/>
                <w:lang w:val="sv-SE" w:eastAsia="sv-SE"/>
              </w:rPr>
            </w:pPr>
            <w:r w:rsidRPr="00D20FCC">
              <w:rPr>
                <w:rFonts w:cs="Arial"/>
                <w:sz w:val="16"/>
                <w:szCs w:val="16"/>
                <w:lang w:val="sv-SE" w:eastAsia="sv-SE"/>
              </w:rPr>
              <w:t>Enable, Disabled</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26539C" w14:textId="77777777" w:rsidR="00D20FCC" w:rsidRPr="00D20FCC" w:rsidRDefault="00D20FCC" w:rsidP="00D20FCC">
            <w:pPr>
              <w:overflowPunct/>
              <w:autoSpaceDE/>
              <w:autoSpaceDN/>
              <w:adjustRightInd/>
              <w:spacing w:after="0"/>
              <w:jc w:val="center"/>
              <w:textAlignment w:val="auto"/>
              <w:rPr>
                <w:rFonts w:cs="Arial"/>
                <w:sz w:val="16"/>
                <w:szCs w:val="16"/>
                <w:lang w:val="sv-SE" w:eastAsia="sv-SE"/>
              </w:rPr>
            </w:pPr>
            <w:r w:rsidRPr="00D20FCC">
              <w:rPr>
                <w:rFonts w:cs="Arial"/>
                <w:sz w:val="16"/>
                <w:szCs w:val="16"/>
                <w:lang w:val="sv-SE" w:eastAsia="sv-SE"/>
              </w:rPr>
              <w:t>Enable</w:t>
            </w:r>
          </w:p>
        </w:tc>
      </w:tr>
    </w:tbl>
    <w:p w14:paraId="2C40EFFA" w14:textId="4B68A44D" w:rsidR="00D20FCC" w:rsidRDefault="00D20FCC" w:rsidP="00D20FCC">
      <w:pPr>
        <w:pStyle w:val="BodyText"/>
        <w:spacing w:after="240"/>
        <w:rPr>
          <w:lang w:val="en-US"/>
        </w:rPr>
      </w:pPr>
    </w:p>
    <w:p w14:paraId="0873F6D7" w14:textId="73403718" w:rsidR="00D20FCC" w:rsidRPr="00D20FCC" w:rsidRDefault="00D20FCC" w:rsidP="00D20FCC">
      <w:pPr>
        <w:pStyle w:val="BodyText"/>
        <w:spacing w:after="240"/>
        <w:rPr>
          <w:b/>
          <w:lang w:val="en-US"/>
        </w:rPr>
      </w:pPr>
      <w:r w:rsidRPr="00D20FCC">
        <w:rPr>
          <w:b/>
          <w:lang w:val="en-US"/>
        </w:rPr>
        <w:t>Proposal</w:t>
      </w:r>
    </w:p>
    <w:p w14:paraId="018E95B9" w14:textId="1E92EF4F" w:rsidR="00D20FCC" w:rsidRDefault="00D20FCC" w:rsidP="00D20FCC">
      <w:pPr>
        <w:pStyle w:val="BodyText"/>
        <w:numPr>
          <w:ilvl w:val="0"/>
          <w:numId w:val="25"/>
        </w:numPr>
        <w:spacing w:after="240"/>
        <w:rPr>
          <w:lang w:val="en-US"/>
        </w:rPr>
      </w:pPr>
      <w:r>
        <w:rPr>
          <w:lang w:val="en-US"/>
        </w:rPr>
        <w:t>Conclude on RRC parameter required for PUSCH power control</w:t>
      </w:r>
    </w:p>
    <w:p w14:paraId="05F3669F" w14:textId="793336B1" w:rsidR="00D20FCC" w:rsidRDefault="00D20FCC" w:rsidP="00D20FCC">
      <w:pPr>
        <w:pStyle w:val="BodyText"/>
        <w:numPr>
          <w:ilvl w:val="0"/>
          <w:numId w:val="25"/>
        </w:numPr>
        <w:spacing w:after="240"/>
        <w:rPr>
          <w:lang w:val="en-US"/>
        </w:rPr>
      </w:pPr>
      <w:r>
        <w:rPr>
          <w:lang w:val="en-US"/>
        </w:rPr>
        <w:lastRenderedPageBreak/>
        <w:t>Conclude on RRC parameters required for PUCCH power control</w:t>
      </w:r>
    </w:p>
    <w:p w14:paraId="3CC62747" w14:textId="246F2450" w:rsidR="00D20FCC" w:rsidRDefault="00D20FCC" w:rsidP="00D20FCC">
      <w:pPr>
        <w:pStyle w:val="BodyText"/>
        <w:numPr>
          <w:ilvl w:val="0"/>
          <w:numId w:val="25"/>
        </w:numPr>
        <w:spacing w:after="240"/>
        <w:rPr>
          <w:lang w:val="en-US"/>
        </w:rPr>
      </w:pPr>
      <w:r>
        <w:rPr>
          <w:lang w:val="en-US"/>
        </w:rPr>
        <w:t>Conclude on RRC parameters required for SRS power control</w:t>
      </w:r>
    </w:p>
    <w:p w14:paraId="56D0E97A" w14:textId="757D7067" w:rsidR="00D20FCC" w:rsidRDefault="00D20FCC" w:rsidP="00D20FCC">
      <w:pPr>
        <w:pStyle w:val="BodyText"/>
        <w:numPr>
          <w:ilvl w:val="0"/>
          <w:numId w:val="25"/>
        </w:numPr>
        <w:spacing w:after="240"/>
        <w:rPr>
          <w:lang w:val="en-US"/>
        </w:rPr>
      </w:pPr>
      <w:r>
        <w:rPr>
          <w:lang w:val="en-US"/>
        </w:rPr>
        <w:t>Conclude on RRC parameters required for PRACH power control</w:t>
      </w:r>
    </w:p>
    <w:p w14:paraId="19172ADE" w14:textId="3D3AD4B5" w:rsidR="00D20FCC" w:rsidRDefault="00D20FCC" w:rsidP="00D20FCC">
      <w:pPr>
        <w:pStyle w:val="BodyText"/>
        <w:numPr>
          <w:ilvl w:val="0"/>
          <w:numId w:val="25"/>
        </w:numPr>
        <w:spacing w:after="240"/>
        <w:rPr>
          <w:lang w:val="en-US"/>
        </w:rPr>
      </w:pPr>
      <w:r>
        <w:rPr>
          <w:lang w:val="en-US"/>
        </w:rPr>
        <w:t>Conclude on power control parameter required for NR-NR DC/CA operation</w:t>
      </w:r>
    </w:p>
    <w:p w14:paraId="14FF0A8F" w14:textId="0C87ECBB" w:rsidR="00D20FCC" w:rsidRDefault="00D20FCC" w:rsidP="00D20FCC">
      <w:pPr>
        <w:pStyle w:val="BodyText"/>
        <w:numPr>
          <w:ilvl w:val="0"/>
          <w:numId w:val="25"/>
        </w:numPr>
        <w:spacing w:after="240"/>
        <w:rPr>
          <w:lang w:val="en-US"/>
        </w:rPr>
      </w:pPr>
      <w:r>
        <w:rPr>
          <w:lang w:val="en-US"/>
        </w:rPr>
        <w:t>Conclude on power control parameter needed for PHR (if any, from RAN1 point of view)</w:t>
      </w:r>
    </w:p>
    <w:p w14:paraId="481A981B" w14:textId="68517E68" w:rsidR="006653D1" w:rsidRDefault="006653D1" w:rsidP="00DB138E">
      <w:pPr>
        <w:pStyle w:val="Reference"/>
        <w:numPr>
          <w:ilvl w:val="0"/>
          <w:numId w:val="0"/>
        </w:numPr>
        <w:rPr>
          <w:lang w:val="en-US"/>
        </w:rPr>
      </w:pPr>
    </w:p>
    <w:sectPr w:rsidR="006653D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8A9B1" w14:textId="77777777" w:rsidR="00062B28" w:rsidRDefault="00062B28">
      <w:r>
        <w:separator/>
      </w:r>
    </w:p>
  </w:endnote>
  <w:endnote w:type="continuationSeparator" w:id="0">
    <w:p w14:paraId="743DCE03" w14:textId="77777777" w:rsidR="00062B28" w:rsidRDefault="0006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39B68F9D"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622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222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5C4582" w14:textId="77777777" w:rsidR="00062B28" w:rsidRDefault="00062B28">
      <w:r>
        <w:separator/>
      </w:r>
    </w:p>
  </w:footnote>
  <w:footnote w:type="continuationSeparator" w:id="0">
    <w:p w14:paraId="50E5E848" w14:textId="77777777" w:rsidR="00062B28" w:rsidRDefault="0006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73F34"/>
    <w:multiLevelType w:val="hybridMultilevel"/>
    <w:tmpl w:val="BA8AC4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BF7AE9"/>
    <w:multiLevelType w:val="hybridMultilevel"/>
    <w:tmpl w:val="327ABA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03A692B"/>
    <w:multiLevelType w:val="hybridMultilevel"/>
    <w:tmpl w:val="A2BED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FC756B"/>
    <w:multiLevelType w:val="hybridMultilevel"/>
    <w:tmpl w:val="D206BB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A6896"/>
    <w:multiLevelType w:val="hybridMultilevel"/>
    <w:tmpl w:val="43A22F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D65E7"/>
    <w:multiLevelType w:val="hybridMultilevel"/>
    <w:tmpl w:val="4AA4E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EA1821"/>
    <w:multiLevelType w:val="hybridMultilevel"/>
    <w:tmpl w:val="AF783E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BA44EC"/>
    <w:multiLevelType w:val="hybridMultilevel"/>
    <w:tmpl w:val="9782E0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37680"/>
    <w:multiLevelType w:val="hybridMultilevel"/>
    <w:tmpl w:val="AD52A5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E4F3D"/>
    <w:multiLevelType w:val="hybridMultilevel"/>
    <w:tmpl w:val="44D4FF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5FD5C0B"/>
    <w:multiLevelType w:val="hybridMultilevel"/>
    <w:tmpl w:val="87C03F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C1401A4"/>
    <w:multiLevelType w:val="hybridMultilevel"/>
    <w:tmpl w:val="43B29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E4A1E7F"/>
    <w:multiLevelType w:val="hybridMultilevel"/>
    <w:tmpl w:val="6D3406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EFF5AB7"/>
    <w:multiLevelType w:val="hybridMultilevel"/>
    <w:tmpl w:val="EBC45B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1"/>
  </w:num>
  <w:num w:numId="4">
    <w:abstractNumId w:val="12"/>
  </w:num>
  <w:num w:numId="5">
    <w:abstractNumId w:val="7"/>
  </w:num>
  <w:num w:numId="6">
    <w:abstractNumId w:val="15"/>
  </w:num>
  <w:num w:numId="7">
    <w:abstractNumId w:val="19"/>
  </w:num>
  <w:num w:numId="8">
    <w:abstractNumId w:val="9"/>
  </w:num>
  <w:num w:numId="9">
    <w:abstractNumId w:val="18"/>
  </w:num>
  <w:num w:numId="10">
    <w:abstractNumId w:val="1"/>
  </w:num>
  <w:num w:numId="11">
    <w:abstractNumId w:val="3"/>
  </w:num>
  <w:num w:numId="12">
    <w:abstractNumId w:val="5"/>
  </w:num>
  <w:num w:numId="13">
    <w:abstractNumId w:val="8"/>
  </w:num>
  <w:num w:numId="14">
    <w:abstractNumId w:val="10"/>
  </w:num>
  <w:num w:numId="15">
    <w:abstractNumId w:val="4"/>
  </w:num>
  <w:num w:numId="16">
    <w:abstractNumId w:val="13"/>
  </w:num>
  <w:num w:numId="17">
    <w:abstractNumId w:val="22"/>
  </w:num>
  <w:num w:numId="18">
    <w:abstractNumId w:val="14"/>
  </w:num>
  <w:num w:numId="19">
    <w:abstractNumId w:val="20"/>
  </w:num>
  <w:num w:numId="20">
    <w:abstractNumId w:val="2"/>
  </w:num>
  <w:num w:numId="21">
    <w:abstractNumId w:val="21"/>
  </w:num>
  <w:num w:numId="22">
    <w:abstractNumId w:val="16"/>
  </w:num>
  <w:num w:numId="23">
    <w:abstractNumId w:val="6"/>
  </w:num>
  <w:num w:numId="24">
    <w:abstractNumId w:val="23"/>
  </w:num>
  <w:num w:numId="2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E0D"/>
    <w:rsid w:val="00042F22"/>
    <w:rsid w:val="000444EF"/>
    <w:rsid w:val="000514FC"/>
    <w:rsid w:val="000526D5"/>
    <w:rsid w:val="00052A07"/>
    <w:rsid w:val="000534E3"/>
    <w:rsid w:val="0005606A"/>
    <w:rsid w:val="00057117"/>
    <w:rsid w:val="000616E7"/>
    <w:rsid w:val="00062B28"/>
    <w:rsid w:val="0006487E"/>
    <w:rsid w:val="00065E1A"/>
    <w:rsid w:val="00067931"/>
    <w:rsid w:val="00077E5F"/>
    <w:rsid w:val="0008036A"/>
    <w:rsid w:val="00081AE6"/>
    <w:rsid w:val="000855EB"/>
    <w:rsid w:val="00085B52"/>
    <w:rsid w:val="000866F2"/>
    <w:rsid w:val="0008751B"/>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0436"/>
    <w:rsid w:val="00132FD0"/>
    <w:rsid w:val="001344C0"/>
    <w:rsid w:val="001346FA"/>
    <w:rsid w:val="00135252"/>
    <w:rsid w:val="00137AB5"/>
    <w:rsid w:val="00137F0B"/>
    <w:rsid w:val="00140596"/>
    <w:rsid w:val="00151E23"/>
    <w:rsid w:val="001521A7"/>
    <w:rsid w:val="001526E0"/>
    <w:rsid w:val="001551B5"/>
    <w:rsid w:val="00163A2A"/>
    <w:rsid w:val="001659C1"/>
    <w:rsid w:val="00166209"/>
    <w:rsid w:val="001676BF"/>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C53C6"/>
    <w:rsid w:val="001D255C"/>
    <w:rsid w:val="001D51BA"/>
    <w:rsid w:val="001D6342"/>
    <w:rsid w:val="001D6D53"/>
    <w:rsid w:val="001E544F"/>
    <w:rsid w:val="001E58E2"/>
    <w:rsid w:val="001E7AED"/>
    <w:rsid w:val="001F1095"/>
    <w:rsid w:val="001F20EE"/>
    <w:rsid w:val="001F3916"/>
    <w:rsid w:val="001F54C5"/>
    <w:rsid w:val="001F662C"/>
    <w:rsid w:val="001F7074"/>
    <w:rsid w:val="001F7A2E"/>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02A"/>
    <w:rsid w:val="002252C3"/>
    <w:rsid w:val="00225C54"/>
    <w:rsid w:val="00230765"/>
    <w:rsid w:val="002319E4"/>
    <w:rsid w:val="002327DF"/>
    <w:rsid w:val="00235632"/>
    <w:rsid w:val="00235872"/>
    <w:rsid w:val="00237A3A"/>
    <w:rsid w:val="00241559"/>
    <w:rsid w:val="002435B3"/>
    <w:rsid w:val="002458EB"/>
    <w:rsid w:val="002500C8"/>
    <w:rsid w:val="0025153F"/>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A6563"/>
    <w:rsid w:val="002B2156"/>
    <w:rsid w:val="002B24D6"/>
    <w:rsid w:val="002B335C"/>
    <w:rsid w:val="002C41E6"/>
    <w:rsid w:val="002C5BA4"/>
    <w:rsid w:val="002C70D2"/>
    <w:rsid w:val="002D071A"/>
    <w:rsid w:val="002D34B2"/>
    <w:rsid w:val="002D7637"/>
    <w:rsid w:val="002E17F2"/>
    <w:rsid w:val="002E2B4A"/>
    <w:rsid w:val="002E30BA"/>
    <w:rsid w:val="002E7CAE"/>
    <w:rsid w:val="002F21F3"/>
    <w:rsid w:val="002F2771"/>
    <w:rsid w:val="002F37A9"/>
    <w:rsid w:val="00301CE6"/>
    <w:rsid w:val="0030256B"/>
    <w:rsid w:val="00302A59"/>
    <w:rsid w:val="0030501F"/>
    <w:rsid w:val="003065D1"/>
    <w:rsid w:val="00306E86"/>
    <w:rsid w:val="0030754A"/>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5127"/>
    <w:rsid w:val="00346DB5"/>
    <w:rsid w:val="003477B1"/>
    <w:rsid w:val="00352421"/>
    <w:rsid w:val="00357380"/>
    <w:rsid w:val="003602D9"/>
    <w:rsid w:val="003604CE"/>
    <w:rsid w:val="00360828"/>
    <w:rsid w:val="0036414E"/>
    <w:rsid w:val="00370E47"/>
    <w:rsid w:val="003742AC"/>
    <w:rsid w:val="00376A32"/>
    <w:rsid w:val="00377CE1"/>
    <w:rsid w:val="00384998"/>
    <w:rsid w:val="00385BF0"/>
    <w:rsid w:val="00392F7A"/>
    <w:rsid w:val="003939FF"/>
    <w:rsid w:val="00394DED"/>
    <w:rsid w:val="003A2223"/>
    <w:rsid w:val="003A27A3"/>
    <w:rsid w:val="003A2A0F"/>
    <w:rsid w:val="003A45A1"/>
    <w:rsid w:val="003A5B0A"/>
    <w:rsid w:val="003A5FD6"/>
    <w:rsid w:val="003A6BAC"/>
    <w:rsid w:val="003A7EF3"/>
    <w:rsid w:val="003B159C"/>
    <w:rsid w:val="003B369F"/>
    <w:rsid w:val="003B36A3"/>
    <w:rsid w:val="003B7FE5"/>
    <w:rsid w:val="003C11C8"/>
    <w:rsid w:val="003C1CFA"/>
    <w:rsid w:val="003C2702"/>
    <w:rsid w:val="003C7806"/>
    <w:rsid w:val="003D109F"/>
    <w:rsid w:val="003D2478"/>
    <w:rsid w:val="003D3C45"/>
    <w:rsid w:val="003D5B1F"/>
    <w:rsid w:val="003D77B0"/>
    <w:rsid w:val="003E15FA"/>
    <w:rsid w:val="003E3B11"/>
    <w:rsid w:val="003E3EE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3A11"/>
    <w:rsid w:val="004646A6"/>
    <w:rsid w:val="00466603"/>
    <w:rsid w:val="004669E2"/>
    <w:rsid w:val="00470C31"/>
    <w:rsid w:val="004734D0"/>
    <w:rsid w:val="00474D3A"/>
    <w:rsid w:val="0047556B"/>
    <w:rsid w:val="0047688E"/>
    <w:rsid w:val="00477768"/>
    <w:rsid w:val="0048543B"/>
    <w:rsid w:val="00492BC5"/>
    <w:rsid w:val="004964F1"/>
    <w:rsid w:val="004A16BC"/>
    <w:rsid w:val="004A2B94"/>
    <w:rsid w:val="004B2CE6"/>
    <w:rsid w:val="004B7C0C"/>
    <w:rsid w:val="004C3898"/>
    <w:rsid w:val="004C6405"/>
    <w:rsid w:val="004D30FE"/>
    <w:rsid w:val="004D36B1"/>
    <w:rsid w:val="004D7EBD"/>
    <w:rsid w:val="004E2680"/>
    <w:rsid w:val="004E28F9"/>
    <w:rsid w:val="004E462E"/>
    <w:rsid w:val="004E4813"/>
    <w:rsid w:val="004E56DC"/>
    <w:rsid w:val="004E76F4"/>
    <w:rsid w:val="004F0445"/>
    <w:rsid w:val="004F0B4E"/>
    <w:rsid w:val="004F0B6C"/>
    <w:rsid w:val="004F2078"/>
    <w:rsid w:val="004F4DA3"/>
    <w:rsid w:val="0050619F"/>
    <w:rsid w:val="00506557"/>
    <w:rsid w:val="0050677A"/>
    <w:rsid w:val="005108D8"/>
    <w:rsid w:val="005116F9"/>
    <w:rsid w:val="005153A7"/>
    <w:rsid w:val="005154B1"/>
    <w:rsid w:val="005219CF"/>
    <w:rsid w:val="00532D41"/>
    <w:rsid w:val="00533AB8"/>
    <w:rsid w:val="00534B59"/>
    <w:rsid w:val="00536759"/>
    <w:rsid w:val="005376FC"/>
    <w:rsid w:val="00537C62"/>
    <w:rsid w:val="00546970"/>
    <w:rsid w:val="00547DF0"/>
    <w:rsid w:val="00547F4D"/>
    <w:rsid w:val="00550419"/>
    <w:rsid w:val="00554E19"/>
    <w:rsid w:val="0056121F"/>
    <w:rsid w:val="0057032A"/>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4436"/>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0E8A"/>
    <w:rsid w:val="00681003"/>
    <w:rsid w:val="0068109B"/>
    <w:rsid w:val="006817C9"/>
    <w:rsid w:val="00683ECE"/>
    <w:rsid w:val="0068756A"/>
    <w:rsid w:val="00695FC2"/>
    <w:rsid w:val="00696949"/>
    <w:rsid w:val="00697052"/>
    <w:rsid w:val="006A46FB"/>
    <w:rsid w:val="006A5E28"/>
    <w:rsid w:val="006A697B"/>
    <w:rsid w:val="006A7AFF"/>
    <w:rsid w:val="006B1816"/>
    <w:rsid w:val="006B1D6D"/>
    <w:rsid w:val="006B2099"/>
    <w:rsid w:val="006B50CF"/>
    <w:rsid w:val="006B5B0F"/>
    <w:rsid w:val="006C03B8"/>
    <w:rsid w:val="006C1838"/>
    <w:rsid w:val="006C2389"/>
    <w:rsid w:val="006C279C"/>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2838"/>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3F46"/>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267B"/>
    <w:rsid w:val="007A306F"/>
    <w:rsid w:val="007A43A6"/>
    <w:rsid w:val="007A58A6"/>
    <w:rsid w:val="007B3D2D"/>
    <w:rsid w:val="007B50AE"/>
    <w:rsid w:val="007B51DF"/>
    <w:rsid w:val="007B78FE"/>
    <w:rsid w:val="007C05DD"/>
    <w:rsid w:val="007C3D18"/>
    <w:rsid w:val="007C60BF"/>
    <w:rsid w:val="007C6A07"/>
    <w:rsid w:val="007C6D48"/>
    <w:rsid w:val="007C75A1"/>
    <w:rsid w:val="007C77A5"/>
    <w:rsid w:val="007D04E5"/>
    <w:rsid w:val="007D13F7"/>
    <w:rsid w:val="007D5901"/>
    <w:rsid w:val="007D7526"/>
    <w:rsid w:val="007E26DB"/>
    <w:rsid w:val="007E4610"/>
    <w:rsid w:val="007E4715"/>
    <w:rsid w:val="007E505B"/>
    <w:rsid w:val="007E7091"/>
    <w:rsid w:val="007F36F8"/>
    <w:rsid w:val="00803FAE"/>
    <w:rsid w:val="0080605F"/>
    <w:rsid w:val="00807786"/>
    <w:rsid w:val="00811FCB"/>
    <w:rsid w:val="00814634"/>
    <w:rsid w:val="008158D6"/>
    <w:rsid w:val="00817196"/>
    <w:rsid w:val="0082252F"/>
    <w:rsid w:val="008235DB"/>
    <w:rsid w:val="00824AB4"/>
    <w:rsid w:val="00825C42"/>
    <w:rsid w:val="00825D25"/>
    <w:rsid w:val="00826D43"/>
    <w:rsid w:val="00827D17"/>
    <w:rsid w:val="00827D6F"/>
    <w:rsid w:val="00831AD4"/>
    <w:rsid w:val="008376AC"/>
    <w:rsid w:val="00843433"/>
    <w:rsid w:val="00843C1E"/>
    <w:rsid w:val="008444E8"/>
    <w:rsid w:val="00844E80"/>
    <w:rsid w:val="00846505"/>
    <w:rsid w:val="00846FE7"/>
    <w:rsid w:val="00854FEF"/>
    <w:rsid w:val="008565AD"/>
    <w:rsid w:val="00856911"/>
    <w:rsid w:val="00864B74"/>
    <w:rsid w:val="008677FD"/>
    <w:rsid w:val="008706D4"/>
    <w:rsid w:val="00870F8A"/>
    <w:rsid w:val="008719A4"/>
    <w:rsid w:val="00871D23"/>
    <w:rsid w:val="00874312"/>
    <w:rsid w:val="0087437C"/>
    <w:rsid w:val="00875CD7"/>
    <w:rsid w:val="00876B4D"/>
    <w:rsid w:val="00877F18"/>
    <w:rsid w:val="00894A88"/>
    <w:rsid w:val="00895386"/>
    <w:rsid w:val="00897B58"/>
    <w:rsid w:val="008A21FF"/>
    <w:rsid w:val="008A2CE2"/>
    <w:rsid w:val="008A30AC"/>
    <w:rsid w:val="008A44B8"/>
    <w:rsid w:val="008A51A8"/>
    <w:rsid w:val="008A54C7"/>
    <w:rsid w:val="008A5EF9"/>
    <w:rsid w:val="008A77D8"/>
    <w:rsid w:val="008B0483"/>
    <w:rsid w:val="008B11AF"/>
    <w:rsid w:val="008B120C"/>
    <w:rsid w:val="008B51A0"/>
    <w:rsid w:val="008B592A"/>
    <w:rsid w:val="008B7B5C"/>
    <w:rsid w:val="008B7D86"/>
    <w:rsid w:val="008C02D7"/>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7EC"/>
    <w:rsid w:val="00950DE7"/>
    <w:rsid w:val="00951E02"/>
    <w:rsid w:val="00953920"/>
    <w:rsid w:val="00953D47"/>
    <w:rsid w:val="0095681E"/>
    <w:rsid w:val="009572D4"/>
    <w:rsid w:val="00961921"/>
    <w:rsid w:val="009635AA"/>
    <w:rsid w:val="0096430A"/>
    <w:rsid w:val="0096554B"/>
    <w:rsid w:val="0096584A"/>
    <w:rsid w:val="009712F5"/>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5DA3"/>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272D"/>
    <w:rsid w:val="009E35DB"/>
    <w:rsid w:val="009E47A3"/>
    <w:rsid w:val="009E60EC"/>
    <w:rsid w:val="009F08F3"/>
    <w:rsid w:val="009F344F"/>
    <w:rsid w:val="009F5F57"/>
    <w:rsid w:val="009F6B33"/>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2C45"/>
    <w:rsid w:val="00A43150"/>
    <w:rsid w:val="00A45B74"/>
    <w:rsid w:val="00A473ED"/>
    <w:rsid w:val="00A52B67"/>
    <w:rsid w:val="00A52E1D"/>
    <w:rsid w:val="00A61499"/>
    <w:rsid w:val="00A62A77"/>
    <w:rsid w:val="00A63483"/>
    <w:rsid w:val="00A657D7"/>
    <w:rsid w:val="00A660AC"/>
    <w:rsid w:val="00A67E6C"/>
    <w:rsid w:val="00A71B99"/>
    <w:rsid w:val="00A739D0"/>
    <w:rsid w:val="00A761D4"/>
    <w:rsid w:val="00A772E6"/>
    <w:rsid w:val="00A77EC4"/>
    <w:rsid w:val="00A8269D"/>
    <w:rsid w:val="00A84711"/>
    <w:rsid w:val="00A85AA5"/>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3910"/>
    <w:rsid w:val="00AC49FB"/>
    <w:rsid w:val="00AC5A10"/>
    <w:rsid w:val="00AD0AA3"/>
    <w:rsid w:val="00AD3F94"/>
    <w:rsid w:val="00AD4A5A"/>
    <w:rsid w:val="00AE27AC"/>
    <w:rsid w:val="00AE2834"/>
    <w:rsid w:val="00AE40E0"/>
    <w:rsid w:val="00AE4DBA"/>
    <w:rsid w:val="00AE4F07"/>
    <w:rsid w:val="00AF1C5D"/>
    <w:rsid w:val="00AF237F"/>
    <w:rsid w:val="00AF42D7"/>
    <w:rsid w:val="00B006FE"/>
    <w:rsid w:val="00B007CB"/>
    <w:rsid w:val="00B02AA9"/>
    <w:rsid w:val="00B02FA3"/>
    <w:rsid w:val="00B05084"/>
    <w:rsid w:val="00B157F9"/>
    <w:rsid w:val="00B1613F"/>
    <w:rsid w:val="00B171CB"/>
    <w:rsid w:val="00B20256"/>
    <w:rsid w:val="00B20D09"/>
    <w:rsid w:val="00B2763F"/>
    <w:rsid w:val="00B27AAC"/>
    <w:rsid w:val="00B304F3"/>
    <w:rsid w:val="00B30929"/>
    <w:rsid w:val="00B34CC1"/>
    <w:rsid w:val="00B372AA"/>
    <w:rsid w:val="00B40445"/>
    <w:rsid w:val="00B40BEF"/>
    <w:rsid w:val="00B41888"/>
    <w:rsid w:val="00B45A52"/>
    <w:rsid w:val="00B46175"/>
    <w:rsid w:val="00B52B66"/>
    <w:rsid w:val="00B52BA1"/>
    <w:rsid w:val="00B6188F"/>
    <w:rsid w:val="00B664C7"/>
    <w:rsid w:val="00B7198C"/>
    <w:rsid w:val="00B739F6"/>
    <w:rsid w:val="00B73CC5"/>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C6F99"/>
    <w:rsid w:val="00BD0AF6"/>
    <w:rsid w:val="00BD1814"/>
    <w:rsid w:val="00BD2878"/>
    <w:rsid w:val="00BD48AC"/>
    <w:rsid w:val="00BD5681"/>
    <w:rsid w:val="00BD5F1A"/>
    <w:rsid w:val="00BE1234"/>
    <w:rsid w:val="00BE2FA6"/>
    <w:rsid w:val="00BE333F"/>
    <w:rsid w:val="00BE7098"/>
    <w:rsid w:val="00BE7406"/>
    <w:rsid w:val="00BE7603"/>
    <w:rsid w:val="00BF3279"/>
    <w:rsid w:val="00BF74C7"/>
    <w:rsid w:val="00C015F1"/>
    <w:rsid w:val="00C01F33"/>
    <w:rsid w:val="00C02CC6"/>
    <w:rsid w:val="00C034F1"/>
    <w:rsid w:val="00C040F7"/>
    <w:rsid w:val="00C041B0"/>
    <w:rsid w:val="00C044AB"/>
    <w:rsid w:val="00C05706"/>
    <w:rsid w:val="00C07377"/>
    <w:rsid w:val="00C10478"/>
    <w:rsid w:val="00C1120A"/>
    <w:rsid w:val="00C12107"/>
    <w:rsid w:val="00C14D4B"/>
    <w:rsid w:val="00C154BB"/>
    <w:rsid w:val="00C17133"/>
    <w:rsid w:val="00C201FD"/>
    <w:rsid w:val="00C20977"/>
    <w:rsid w:val="00C21B9D"/>
    <w:rsid w:val="00C23998"/>
    <w:rsid w:val="00C279B5"/>
    <w:rsid w:val="00C27C45"/>
    <w:rsid w:val="00C30407"/>
    <w:rsid w:val="00C31765"/>
    <w:rsid w:val="00C354DC"/>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19E"/>
    <w:rsid w:val="00C944AB"/>
    <w:rsid w:val="00C95B40"/>
    <w:rsid w:val="00CA1ED8"/>
    <w:rsid w:val="00CA56AC"/>
    <w:rsid w:val="00CB1F63"/>
    <w:rsid w:val="00CB7170"/>
    <w:rsid w:val="00CB7D95"/>
    <w:rsid w:val="00CC029D"/>
    <w:rsid w:val="00CC040E"/>
    <w:rsid w:val="00CC111F"/>
    <w:rsid w:val="00CC2011"/>
    <w:rsid w:val="00CC3EA0"/>
    <w:rsid w:val="00CC52DC"/>
    <w:rsid w:val="00CC727A"/>
    <w:rsid w:val="00CC7B45"/>
    <w:rsid w:val="00CD1188"/>
    <w:rsid w:val="00CD2ED1"/>
    <w:rsid w:val="00CD337B"/>
    <w:rsid w:val="00CE0424"/>
    <w:rsid w:val="00CE36E3"/>
    <w:rsid w:val="00CE5994"/>
    <w:rsid w:val="00CE7561"/>
    <w:rsid w:val="00CF1354"/>
    <w:rsid w:val="00CF3B1F"/>
    <w:rsid w:val="00CF3BF6"/>
    <w:rsid w:val="00CF625B"/>
    <w:rsid w:val="00CF65C0"/>
    <w:rsid w:val="00CF687E"/>
    <w:rsid w:val="00D0349B"/>
    <w:rsid w:val="00D10249"/>
    <w:rsid w:val="00D115C3"/>
    <w:rsid w:val="00D11897"/>
    <w:rsid w:val="00D13135"/>
    <w:rsid w:val="00D13E4E"/>
    <w:rsid w:val="00D20FCC"/>
    <w:rsid w:val="00D21F5F"/>
    <w:rsid w:val="00D239A7"/>
    <w:rsid w:val="00D23F47"/>
    <w:rsid w:val="00D27862"/>
    <w:rsid w:val="00D3019D"/>
    <w:rsid w:val="00D36E71"/>
    <w:rsid w:val="00D376C5"/>
    <w:rsid w:val="00D37D87"/>
    <w:rsid w:val="00D40B33"/>
    <w:rsid w:val="00D42891"/>
    <w:rsid w:val="00D4318F"/>
    <w:rsid w:val="00D438BF"/>
    <w:rsid w:val="00D440F8"/>
    <w:rsid w:val="00D50F97"/>
    <w:rsid w:val="00D51853"/>
    <w:rsid w:val="00D52C8D"/>
    <w:rsid w:val="00D538F4"/>
    <w:rsid w:val="00D546FF"/>
    <w:rsid w:val="00D54AF2"/>
    <w:rsid w:val="00D5515E"/>
    <w:rsid w:val="00D55AD5"/>
    <w:rsid w:val="00D576CA"/>
    <w:rsid w:val="00D61AF5"/>
    <w:rsid w:val="00D62227"/>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138E"/>
    <w:rsid w:val="00DB377D"/>
    <w:rsid w:val="00DC2D36"/>
    <w:rsid w:val="00DC53EF"/>
    <w:rsid w:val="00DC72DB"/>
    <w:rsid w:val="00DE0C96"/>
    <w:rsid w:val="00DE1BBA"/>
    <w:rsid w:val="00DE5608"/>
    <w:rsid w:val="00DE58D0"/>
    <w:rsid w:val="00DE654F"/>
    <w:rsid w:val="00DF0B6E"/>
    <w:rsid w:val="00DF15E0"/>
    <w:rsid w:val="00DF37A0"/>
    <w:rsid w:val="00DF48C6"/>
    <w:rsid w:val="00DF4FC5"/>
    <w:rsid w:val="00DF71A0"/>
    <w:rsid w:val="00DF7C96"/>
    <w:rsid w:val="00DF7ECA"/>
    <w:rsid w:val="00E04024"/>
    <w:rsid w:val="00E110E7"/>
    <w:rsid w:val="00E11B20"/>
    <w:rsid w:val="00E14D9A"/>
    <w:rsid w:val="00E17FA2"/>
    <w:rsid w:val="00E22330"/>
    <w:rsid w:val="00E30B5A"/>
    <w:rsid w:val="00E3123D"/>
    <w:rsid w:val="00E31461"/>
    <w:rsid w:val="00E31B97"/>
    <w:rsid w:val="00E31D43"/>
    <w:rsid w:val="00E32608"/>
    <w:rsid w:val="00E34188"/>
    <w:rsid w:val="00E34B6E"/>
    <w:rsid w:val="00E35559"/>
    <w:rsid w:val="00E3723A"/>
    <w:rsid w:val="00E37860"/>
    <w:rsid w:val="00E446F1"/>
    <w:rsid w:val="00E45C5C"/>
    <w:rsid w:val="00E46886"/>
    <w:rsid w:val="00E47AEF"/>
    <w:rsid w:val="00E50844"/>
    <w:rsid w:val="00E52E80"/>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2A07"/>
    <w:rsid w:val="00E931D4"/>
    <w:rsid w:val="00E93FFE"/>
    <w:rsid w:val="00E94420"/>
    <w:rsid w:val="00E94F8A"/>
    <w:rsid w:val="00E962D8"/>
    <w:rsid w:val="00EA60F2"/>
    <w:rsid w:val="00EA7A41"/>
    <w:rsid w:val="00EB077B"/>
    <w:rsid w:val="00EB4EA2"/>
    <w:rsid w:val="00EC27C6"/>
    <w:rsid w:val="00EC4207"/>
    <w:rsid w:val="00EC5653"/>
    <w:rsid w:val="00EC71CE"/>
    <w:rsid w:val="00ED1006"/>
    <w:rsid w:val="00EE35CC"/>
    <w:rsid w:val="00EF18FE"/>
    <w:rsid w:val="00EF1EC5"/>
    <w:rsid w:val="00EF5787"/>
    <w:rsid w:val="00EF60D0"/>
    <w:rsid w:val="00F01FBF"/>
    <w:rsid w:val="00F0528D"/>
    <w:rsid w:val="00F06C67"/>
    <w:rsid w:val="00F06DFD"/>
    <w:rsid w:val="00F071D1"/>
    <w:rsid w:val="00F07533"/>
    <w:rsid w:val="00F10629"/>
    <w:rsid w:val="00F11623"/>
    <w:rsid w:val="00F12C6D"/>
    <w:rsid w:val="00F154BD"/>
    <w:rsid w:val="00F15FA5"/>
    <w:rsid w:val="00F17FAC"/>
    <w:rsid w:val="00F209B7"/>
    <w:rsid w:val="00F2376F"/>
    <w:rsid w:val="00F243D8"/>
    <w:rsid w:val="00F30828"/>
    <w:rsid w:val="00F313D6"/>
    <w:rsid w:val="00F337A1"/>
    <w:rsid w:val="00F365B1"/>
    <w:rsid w:val="00F40F0C"/>
    <w:rsid w:val="00F41B4E"/>
    <w:rsid w:val="00F459B0"/>
    <w:rsid w:val="00F466E5"/>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4AC"/>
    <w:rsid w:val="00FA2BB3"/>
    <w:rsid w:val="00FB200E"/>
    <w:rsid w:val="00FB4C80"/>
    <w:rsid w:val="00FB6A6A"/>
    <w:rsid w:val="00FB7575"/>
    <w:rsid w:val="00FC557A"/>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aliases w:val="- Bullets"/>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aliases w:val="- Bullets Char"/>
    <w:link w:val="ListParagraph"/>
    <w:uiPriority w:val="34"/>
    <w:qFormat/>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customStyle="1" w:styleId="IvDbodytext">
    <w:name w:val="IvD bodytext"/>
    <w:basedOn w:val="BodyText"/>
    <w:link w:val="IvDbodytextChar"/>
    <w:qFormat/>
    <w:rsid w:val="006F28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EastAsia"/>
      <w:spacing w:val="2"/>
      <w:lang w:val="en-US" w:eastAsia="en-US"/>
    </w:rPr>
  </w:style>
  <w:style w:type="character" w:customStyle="1" w:styleId="IvDbodytextChar">
    <w:name w:val="IvD bodytext Char"/>
    <w:basedOn w:val="DefaultParagraphFont"/>
    <w:link w:val="IvDbodytext"/>
    <w:rsid w:val="006F2838"/>
    <w:rPr>
      <w:rFonts w:ascii="Arial" w:eastAsiaTheme="minorEastAsia" w:hAnsi="Arial"/>
      <w:spacing w:val="2"/>
    </w:rPr>
  </w:style>
  <w:style w:type="paragraph" w:customStyle="1" w:styleId="References">
    <w:name w:val="References"/>
    <w:basedOn w:val="Normal"/>
    <w:rsid w:val="00C354DC"/>
    <w:pPr>
      <w:numPr>
        <w:ilvl w:val="2"/>
        <w:numId w:val="10"/>
      </w:numPr>
      <w:overflowPunct/>
      <w:autoSpaceDE/>
      <w:autoSpaceDN/>
      <w:adjustRightInd/>
      <w:spacing w:after="0"/>
      <w:jc w:val="left"/>
      <w:textAlignment w:val="auto"/>
    </w:pPr>
    <w:rPr>
      <w:rFonts w:ascii="Times New Roman" w:hAnsi="Times New Roman"/>
      <w:szCs w:val="24"/>
      <w:lang w:val="en-US" w:eastAsia="en-US"/>
    </w:rPr>
  </w:style>
  <w:style w:type="character" w:customStyle="1" w:styleId="font191">
    <w:name w:val="font191"/>
    <w:basedOn w:val="DefaultParagraphFont"/>
    <w:rsid w:val="00A85AA5"/>
    <w:rPr>
      <w:rFonts w:ascii="Arial" w:hAnsi="Arial" w:cs="Arial" w:hint="default"/>
      <w:b w:val="0"/>
      <w:bCs w:val="0"/>
      <w:i w:val="0"/>
      <w:iCs w:val="0"/>
      <w:strike w:val="0"/>
      <w:dstrike w:val="0"/>
      <w:color w:val="FF0000"/>
      <w:sz w:val="16"/>
      <w:szCs w:val="16"/>
      <w:u w:val="none"/>
      <w:effect w:val="none"/>
    </w:rPr>
  </w:style>
  <w:style w:type="character" w:customStyle="1" w:styleId="font91">
    <w:name w:val="font9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41">
    <w:name w:val="font141"/>
    <w:basedOn w:val="DefaultParagraphFont"/>
    <w:rsid w:val="00A85AA5"/>
    <w:rPr>
      <w:rFonts w:ascii="Arial" w:hAnsi="Arial" w:cs="Arial" w:hint="default"/>
      <w:b w:val="0"/>
      <w:bCs w:val="0"/>
      <w:i w:val="0"/>
      <w:iCs w:val="0"/>
      <w:strike w:val="0"/>
      <w:dstrike w:val="0"/>
      <w:color w:val="auto"/>
      <w:sz w:val="16"/>
      <w:szCs w:val="16"/>
      <w:u w:val="none"/>
      <w:effect w:val="none"/>
    </w:rPr>
  </w:style>
  <w:style w:type="character" w:customStyle="1" w:styleId="font171">
    <w:name w:val="font17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161">
    <w:name w:val="font161"/>
    <w:basedOn w:val="DefaultParagraphFont"/>
    <w:rsid w:val="00DB138E"/>
    <w:rPr>
      <w:rFonts w:ascii="Arial" w:hAnsi="Arial" w:cs="Arial" w:hint="default"/>
      <w:b w:val="0"/>
      <w:bCs w:val="0"/>
      <w:i w:val="0"/>
      <w:iCs w:val="0"/>
      <w:strike w:val="0"/>
      <w:dstrike w:val="0"/>
      <w:color w:val="FF0000"/>
      <w:sz w:val="16"/>
      <w:szCs w:val="16"/>
      <w:u w:val="none"/>
      <w:effect w:val="none"/>
    </w:rPr>
  </w:style>
  <w:style w:type="character" w:customStyle="1" w:styleId="font211">
    <w:name w:val="font211"/>
    <w:basedOn w:val="DefaultParagraphFont"/>
    <w:rsid w:val="00F459B0"/>
    <w:rPr>
      <w:rFonts w:ascii="Arial" w:hAnsi="Arial" w:cs="Arial" w:hint="default"/>
      <w:b w:val="0"/>
      <w:bCs w:val="0"/>
      <w:i w:val="0"/>
      <w:iCs w:val="0"/>
      <w:strike w:val="0"/>
      <w:dstrike w:val="0"/>
      <w:color w:val="FF0000"/>
      <w:sz w:val="16"/>
      <w:szCs w:val="16"/>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946155">
      <w:bodyDiv w:val="1"/>
      <w:marLeft w:val="0"/>
      <w:marRight w:val="0"/>
      <w:marTop w:val="0"/>
      <w:marBottom w:val="0"/>
      <w:divBdr>
        <w:top w:val="none" w:sz="0" w:space="0" w:color="auto"/>
        <w:left w:val="none" w:sz="0" w:space="0" w:color="auto"/>
        <w:bottom w:val="none" w:sz="0" w:space="0" w:color="auto"/>
        <w:right w:val="none" w:sz="0" w:space="0" w:color="auto"/>
      </w:divBdr>
    </w:div>
    <w:div w:id="137766738">
      <w:bodyDiv w:val="1"/>
      <w:marLeft w:val="0"/>
      <w:marRight w:val="0"/>
      <w:marTop w:val="0"/>
      <w:marBottom w:val="0"/>
      <w:divBdr>
        <w:top w:val="none" w:sz="0" w:space="0" w:color="auto"/>
        <w:left w:val="none" w:sz="0" w:space="0" w:color="auto"/>
        <w:bottom w:val="none" w:sz="0" w:space="0" w:color="auto"/>
        <w:right w:val="none" w:sz="0" w:space="0" w:color="auto"/>
      </w:divBdr>
    </w:div>
    <w:div w:id="241184209">
      <w:bodyDiv w:val="1"/>
      <w:marLeft w:val="0"/>
      <w:marRight w:val="0"/>
      <w:marTop w:val="0"/>
      <w:marBottom w:val="0"/>
      <w:divBdr>
        <w:top w:val="none" w:sz="0" w:space="0" w:color="auto"/>
        <w:left w:val="none" w:sz="0" w:space="0" w:color="auto"/>
        <w:bottom w:val="none" w:sz="0" w:space="0" w:color="auto"/>
        <w:right w:val="none" w:sz="0" w:space="0" w:color="auto"/>
      </w:divBdr>
    </w:div>
    <w:div w:id="332607627">
      <w:bodyDiv w:val="1"/>
      <w:marLeft w:val="0"/>
      <w:marRight w:val="0"/>
      <w:marTop w:val="0"/>
      <w:marBottom w:val="0"/>
      <w:divBdr>
        <w:top w:val="none" w:sz="0" w:space="0" w:color="auto"/>
        <w:left w:val="none" w:sz="0" w:space="0" w:color="auto"/>
        <w:bottom w:val="none" w:sz="0" w:space="0" w:color="auto"/>
        <w:right w:val="none" w:sz="0" w:space="0" w:color="auto"/>
      </w:divBdr>
    </w:div>
    <w:div w:id="426462456">
      <w:bodyDiv w:val="1"/>
      <w:marLeft w:val="0"/>
      <w:marRight w:val="0"/>
      <w:marTop w:val="0"/>
      <w:marBottom w:val="0"/>
      <w:divBdr>
        <w:top w:val="none" w:sz="0" w:space="0" w:color="auto"/>
        <w:left w:val="none" w:sz="0" w:space="0" w:color="auto"/>
        <w:bottom w:val="none" w:sz="0" w:space="0" w:color="auto"/>
        <w:right w:val="none" w:sz="0" w:space="0" w:color="auto"/>
      </w:divBdr>
    </w:div>
    <w:div w:id="471752088">
      <w:bodyDiv w:val="1"/>
      <w:marLeft w:val="0"/>
      <w:marRight w:val="0"/>
      <w:marTop w:val="0"/>
      <w:marBottom w:val="0"/>
      <w:divBdr>
        <w:top w:val="none" w:sz="0" w:space="0" w:color="auto"/>
        <w:left w:val="none" w:sz="0" w:space="0" w:color="auto"/>
        <w:bottom w:val="none" w:sz="0" w:space="0" w:color="auto"/>
        <w:right w:val="none" w:sz="0" w:space="0" w:color="auto"/>
      </w:divBdr>
    </w:div>
    <w:div w:id="502932485">
      <w:bodyDiv w:val="1"/>
      <w:marLeft w:val="0"/>
      <w:marRight w:val="0"/>
      <w:marTop w:val="0"/>
      <w:marBottom w:val="0"/>
      <w:divBdr>
        <w:top w:val="none" w:sz="0" w:space="0" w:color="auto"/>
        <w:left w:val="none" w:sz="0" w:space="0" w:color="auto"/>
        <w:bottom w:val="none" w:sz="0" w:space="0" w:color="auto"/>
        <w:right w:val="none" w:sz="0" w:space="0" w:color="auto"/>
      </w:divBdr>
    </w:div>
    <w:div w:id="534854673">
      <w:bodyDiv w:val="1"/>
      <w:marLeft w:val="0"/>
      <w:marRight w:val="0"/>
      <w:marTop w:val="0"/>
      <w:marBottom w:val="0"/>
      <w:divBdr>
        <w:top w:val="none" w:sz="0" w:space="0" w:color="auto"/>
        <w:left w:val="none" w:sz="0" w:space="0" w:color="auto"/>
        <w:bottom w:val="none" w:sz="0" w:space="0" w:color="auto"/>
        <w:right w:val="none" w:sz="0" w:space="0" w:color="auto"/>
      </w:divBdr>
    </w:div>
    <w:div w:id="692993242">
      <w:bodyDiv w:val="1"/>
      <w:marLeft w:val="0"/>
      <w:marRight w:val="0"/>
      <w:marTop w:val="0"/>
      <w:marBottom w:val="0"/>
      <w:divBdr>
        <w:top w:val="none" w:sz="0" w:space="0" w:color="auto"/>
        <w:left w:val="none" w:sz="0" w:space="0" w:color="auto"/>
        <w:bottom w:val="none" w:sz="0" w:space="0" w:color="auto"/>
        <w:right w:val="none" w:sz="0" w:space="0" w:color="auto"/>
      </w:divBdr>
    </w:div>
    <w:div w:id="737823887">
      <w:bodyDiv w:val="1"/>
      <w:marLeft w:val="0"/>
      <w:marRight w:val="0"/>
      <w:marTop w:val="0"/>
      <w:marBottom w:val="0"/>
      <w:divBdr>
        <w:top w:val="none" w:sz="0" w:space="0" w:color="auto"/>
        <w:left w:val="none" w:sz="0" w:space="0" w:color="auto"/>
        <w:bottom w:val="none" w:sz="0" w:space="0" w:color="auto"/>
        <w:right w:val="none" w:sz="0" w:space="0" w:color="auto"/>
      </w:divBdr>
    </w:div>
    <w:div w:id="740299725">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868833971">
      <w:bodyDiv w:val="1"/>
      <w:marLeft w:val="0"/>
      <w:marRight w:val="0"/>
      <w:marTop w:val="0"/>
      <w:marBottom w:val="0"/>
      <w:divBdr>
        <w:top w:val="none" w:sz="0" w:space="0" w:color="auto"/>
        <w:left w:val="none" w:sz="0" w:space="0" w:color="auto"/>
        <w:bottom w:val="none" w:sz="0" w:space="0" w:color="auto"/>
        <w:right w:val="none" w:sz="0" w:space="0" w:color="auto"/>
      </w:divBdr>
    </w:div>
    <w:div w:id="933049120">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055199525">
      <w:bodyDiv w:val="1"/>
      <w:marLeft w:val="0"/>
      <w:marRight w:val="0"/>
      <w:marTop w:val="0"/>
      <w:marBottom w:val="0"/>
      <w:divBdr>
        <w:top w:val="none" w:sz="0" w:space="0" w:color="auto"/>
        <w:left w:val="none" w:sz="0" w:space="0" w:color="auto"/>
        <w:bottom w:val="none" w:sz="0" w:space="0" w:color="auto"/>
        <w:right w:val="none" w:sz="0" w:space="0" w:color="auto"/>
      </w:divBdr>
    </w:div>
    <w:div w:id="1072042425">
      <w:bodyDiv w:val="1"/>
      <w:marLeft w:val="0"/>
      <w:marRight w:val="0"/>
      <w:marTop w:val="0"/>
      <w:marBottom w:val="0"/>
      <w:divBdr>
        <w:top w:val="none" w:sz="0" w:space="0" w:color="auto"/>
        <w:left w:val="none" w:sz="0" w:space="0" w:color="auto"/>
        <w:bottom w:val="none" w:sz="0" w:space="0" w:color="auto"/>
        <w:right w:val="none" w:sz="0" w:space="0" w:color="auto"/>
      </w:divBdr>
    </w:div>
    <w:div w:id="1140339579">
      <w:bodyDiv w:val="1"/>
      <w:marLeft w:val="0"/>
      <w:marRight w:val="0"/>
      <w:marTop w:val="0"/>
      <w:marBottom w:val="0"/>
      <w:divBdr>
        <w:top w:val="none" w:sz="0" w:space="0" w:color="auto"/>
        <w:left w:val="none" w:sz="0" w:space="0" w:color="auto"/>
        <w:bottom w:val="none" w:sz="0" w:space="0" w:color="auto"/>
        <w:right w:val="none" w:sz="0" w:space="0" w:color="auto"/>
      </w:divBdr>
    </w:div>
    <w:div w:id="1179734102">
      <w:bodyDiv w:val="1"/>
      <w:marLeft w:val="0"/>
      <w:marRight w:val="0"/>
      <w:marTop w:val="0"/>
      <w:marBottom w:val="0"/>
      <w:divBdr>
        <w:top w:val="none" w:sz="0" w:space="0" w:color="auto"/>
        <w:left w:val="none" w:sz="0" w:space="0" w:color="auto"/>
        <w:bottom w:val="none" w:sz="0" w:space="0" w:color="auto"/>
        <w:right w:val="none" w:sz="0" w:space="0" w:color="auto"/>
      </w:divBdr>
    </w:div>
    <w:div w:id="1225484082">
      <w:bodyDiv w:val="1"/>
      <w:marLeft w:val="0"/>
      <w:marRight w:val="0"/>
      <w:marTop w:val="0"/>
      <w:marBottom w:val="0"/>
      <w:divBdr>
        <w:top w:val="none" w:sz="0" w:space="0" w:color="auto"/>
        <w:left w:val="none" w:sz="0" w:space="0" w:color="auto"/>
        <w:bottom w:val="none" w:sz="0" w:space="0" w:color="auto"/>
        <w:right w:val="none" w:sz="0" w:space="0" w:color="auto"/>
      </w:divBdr>
    </w:div>
    <w:div w:id="1446075574">
      <w:bodyDiv w:val="1"/>
      <w:marLeft w:val="0"/>
      <w:marRight w:val="0"/>
      <w:marTop w:val="0"/>
      <w:marBottom w:val="0"/>
      <w:divBdr>
        <w:top w:val="none" w:sz="0" w:space="0" w:color="auto"/>
        <w:left w:val="none" w:sz="0" w:space="0" w:color="auto"/>
        <w:bottom w:val="none" w:sz="0" w:space="0" w:color="auto"/>
        <w:right w:val="none" w:sz="0" w:space="0" w:color="auto"/>
      </w:divBdr>
    </w:div>
    <w:div w:id="1510867665">
      <w:bodyDiv w:val="1"/>
      <w:marLeft w:val="0"/>
      <w:marRight w:val="0"/>
      <w:marTop w:val="0"/>
      <w:marBottom w:val="0"/>
      <w:divBdr>
        <w:top w:val="none" w:sz="0" w:space="0" w:color="auto"/>
        <w:left w:val="none" w:sz="0" w:space="0" w:color="auto"/>
        <w:bottom w:val="none" w:sz="0" w:space="0" w:color="auto"/>
        <w:right w:val="none" w:sz="0" w:space="0" w:color="auto"/>
      </w:divBdr>
    </w:div>
    <w:div w:id="1542210164">
      <w:bodyDiv w:val="1"/>
      <w:marLeft w:val="0"/>
      <w:marRight w:val="0"/>
      <w:marTop w:val="0"/>
      <w:marBottom w:val="0"/>
      <w:divBdr>
        <w:top w:val="none" w:sz="0" w:space="0" w:color="auto"/>
        <w:left w:val="none" w:sz="0" w:space="0" w:color="auto"/>
        <w:bottom w:val="none" w:sz="0" w:space="0" w:color="auto"/>
        <w:right w:val="none" w:sz="0" w:space="0" w:color="auto"/>
      </w:divBdr>
    </w:div>
    <w:div w:id="1641769576">
      <w:bodyDiv w:val="1"/>
      <w:marLeft w:val="0"/>
      <w:marRight w:val="0"/>
      <w:marTop w:val="0"/>
      <w:marBottom w:val="0"/>
      <w:divBdr>
        <w:top w:val="none" w:sz="0" w:space="0" w:color="auto"/>
        <w:left w:val="none" w:sz="0" w:space="0" w:color="auto"/>
        <w:bottom w:val="none" w:sz="0" w:space="0" w:color="auto"/>
        <w:right w:val="none" w:sz="0" w:space="0" w:color="auto"/>
      </w:divBdr>
    </w:div>
    <w:div w:id="1689017387">
      <w:bodyDiv w:val="1"/>
      <w:marLeft w:val="0"/>
      <w:marRight w:val="0"/>
      <w:marTop w:val="0"/>
      <w:marBottom w:val="0"/>
      <w:divBdr>
        <w:top w:val="none" w:sz="0" w:space="0" w:color="auto"/>
        <w:left w:val="none" w:sz="0" w:space="0" w:color="auto"/>
        <w:bottom w:val="none" w:sz="0" w:space="0" w:color="auto"/>
        <w:right w:val="none" w:sz="0" w:space="0" w:color="auto"/>
      </w:divBdr>
    </w:div>
    <w:div w:id="1788574274">
      <w:bodyDiv w:val="1"/>
      <w:marLeft w:val="0"/>
      <w:marRight w:val="0"/>
      <w:marTop w:val="0"/>
      <w:marBottom w:val="0"/>
      <w:divBdr>
        <w:top w:val="none" w:sz="0" w:space="0" w:color="auto"/>
        <w:left w:val="none" w:sz="0" w:space="0" w:color="auto"/>
        <w:bottom w:val="none" w:sz="0" w:space="0" w:color="auto"/>
        <w:right w:val="none" w:sz="0" w:space="0" w:color="auto"/>
      </w:divBdr>
    </w:div>
    <w:div w:id="1870415762">
      <w:bodyDiv w:val="1"/>
      <w:marLeft w:val="0"/>
      <w:marRight w:val="0"/>
      <w:marTop w:val="0"/>
      <w:marBottom w:val="0"/>
      <w:divBdr>
        <w:top w:val="none" w:sz="0" w:space="0" w:color="auto"/>
        <w:left w:val="none" w:sz="0" w:space="0" w:color="auto"/>
        <w:bottom w:val="none" w:sz="0" w:space="0" w:color="auto"/>
        <w:right w:val="none" w:sz="0" w:space="0" w:color="auto"/>
      </w:divBdr>
    </w:div>
    <w:div w:id="1960603083">
      <w:bodyDiv w:val="1"/>
      <w:marLeft w:val="0"/>
      <w:marRight w:val="0"/>
      <w:marTop w:val="0"/>
      <w:marBottom w:val="0"/>
      <w:divBdr>
        <w:top w:val="none" w:sz="0" w:space="0" w:color="auto"/>
        <w:left w:val="none" w:sz="0" w:space="0" w:color="auto"/>
        <w:bottom w:val="none" w:sz="0" w:space="0" w:color="auto"/>
        <w:right w:val="none" w:sz="0" w:space="0" w:color="auto"/>
      </w:divBdr>
    </w:div>
    <w:div w:id="2058433849">
      <w:bodyDiv w:val="1"/>
      <w:marLeft w:val="0"/>
      <w:marRight w:val="0"/>
      <w:marTop w:val="0"/>
      <w:marBottom w:val="0"/>
      <w:divBdr>
        <w:top w:val="none" w:sz="0" w:space="0" w:color="auto"/>
        <w:left w:val="none" w:sz="0" w:space="0" w:color="auto"/>
        <w:bottom w:val="none" w:sz="0" w:space="0" w:color="auto"/>
        <w:right w:val="none" w:sz="0" w:space="0" w:color="auto"/>
      </w:divBdr>
    </w:div>
    <w:div w:id="2065831592">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 w:id="211369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28943416-E1F8-42CF-881D-3FEF7C04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1113</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2526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Ravikiran Nory</cp:lastModifiedBy>
  <cp:revision>184</cp:revision>
  <cp:lastPrinted>2008-01-31T16:09:00Z</cp:lastPrinted>
  <dcterms:created xsi:type="dcterms:W3CDTF">2017-02-07T17:47:00Z</dcterms:created>
  <dcterms:modified xsi:type="dcterms:W3CDTF">2017-10-02T16:45:00Z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